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2B7E" w14:textId="00095980" w:rsidR="00B673C8" w:rsidRDefault="00570B5F" w:rsidP="00570B5F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Всероссийских проверочных работ </w:t>
      </w:r>
      <w:r w:rsidRPr="00570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82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FB3731D" w14:textId="77777777" w:rsidR="00570B5F" w:rsidRPr="00EF0834" w:rsidRDefault="00570B5F" w:rsidP="00570B5F">
      <w:pPr>
        <w:tabs>
          <w:tab w:val="left" w:pos="3145"/>
        </w:tabs>
        <w:spacing w:before="35" w:after="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уровне </w:t>
      </w:r>
      <w:r w:rsidR="00B673C8" w:rsidRPr="00EF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</w:t>
      </w:r>
    </w:p>
    <w:p w14:paraId="0254006C" w14:textId="77777777" w:rsidR="00570B5F" w:rsidRPr="00EF0834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0DD63" w14:textId="77777777" w:rsidR="00570B5F" w:rsidRPr="005702B3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механизмов обеспечения качества образования является внутренняя и внешняя система оценки достижения планируемых результатов в соответствии с ФГОС НОО. Внутренняя система оценки является частью основной образовательной программы начального общего образования соответствующей образовательной организации и разрабатывается каждым учреждением самостоятельно. Внешняя система оценки проводится независимыми организациями федерального или регионального уровней.</w:t>
      </w:r>
      <w:r w:rsidRPr="00570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5A1AFA" w14:textId="77777777" w:rsidR="00570B5F" w:rsidRPr="005702B3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2015 года во всех общеобразовательных организациях Российской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Всероссийские проверочные работы (далее - ВПР). Содержание и анализ результатов ВПР с 2015 по 2018 г.г. осуществлял Федеральный центр непрерывного математического образования (ФЦНМО), с 2019 года – Федеральный институт оценки качества образования (ФИОКО) на портале ФИСОКО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C9A48A" w14:textId="5F85778B" w:rsidR="00EF0834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E05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06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0602">
        <w:rPr>
          <w:rFonts w:ascii="Times New Roman" w:eastAsia="Times New Roman" w:hAnsi="Times New Roman" w:cs="Times New Roman"/>
          <w:sz w:val="24"/>
          <w:szCs w:val="24"/>
          <w:lang w:eastAsia="ru-RU"/>
        </w:rPr>
        <w:t>4-8-х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в штатном режиме, в 11-х классах – в режиме апробации</w:t>
      </w:r>
      <w:r w:rsidRPr="0057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0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BA130F" w14:textId="77777777" w:rsidR="00570B5F" w:rsidRDefault="004F3FC8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а</w:t>
      </w:r>
      <w:r w:rsidR="00570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выполнения В</w:t>
      </w:r>
      <w:r w:rsidR="003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57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общеобразовательных организаций города Заречного </w:t>
      </w:r>
      <w:r w:rsidR="00786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57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трем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</w:t>
      </w:r>
      <w:r w:rsidR="0057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блокам:</w:t>
      </w:r>
    </w:p>
    <w:p w14:paraId="6379E084" w14:textId="5CA66296" w:rsidR="00570B5F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 по отметкам (выполняется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перевода первичных баллов в отметки по пятибалльной шкале; позволяет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унифицировать анализ данных по предметам и годам обучения, сравнивать массивы данных);</w:t>
      </w:r>
    </w:p>
    <w:p w14:paraId="55A71F63" w14:textId="77777777" w:rsidR="00570B5F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отметок с отметками по журналу (позволяет условно соотнести объективность отметки за ВПР и отметки в классном журнале на основе анализа данных «понизили/подтвердили/повысили результаты» </w:t>
      </w:r>
      <w:r w:rsidRPr="00596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(Примечание: критерий не дает объективного результата, так как ВПР не является единственной формой оценки достижения планируемых результатов ООП НОО, ООП ООО и ООП СОО)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6C0757" w14:textId="77777777" w:rsidR="00570B5F" w:rsidRPr="005702B3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планируемых результатов (позволяет оценивать выполнение рабочих программ по предметам учебного плана, проводить коррекцию дальнейшего процесса обучения).</w:t>
      </w:r>
    </w:p>
    <w:p w14:paraId="56623712" w14:textId="77777777" w:rsidR="00B673C8" w:rsidRDefault="00B673C8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0E79CA9" w14:textId="67424DDC" w:rsidR="00B673C8" w:rsidRPr="005702B3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0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язык. ВПР-202</w:t>
      </w:r>
      <w:r w:rsidR="00BE4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570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</w:t>
      </w:r>
      <w:r w:rsidR="00D74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2071C12F" w14:textId="6D2AB8C5" w:rsidR="00570B5F" w:rsidRPr="001F37CB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русскому языку выполняли </w:t>
      </w:r>
      <w:r w:rsidR="001C6FF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0190" w:rsidRPr="00F0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уч-ся, 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F00190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</w:t>
      </w:r>
      <w:r w:rsidR="00F00190" w:rsidRPr="00F001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44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F0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чел.). 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с работой 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96,23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1C6F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четверок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лассников (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86,84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>% в 202</w:t>
      </w:r>
      <w:r w:rsidR="001C6F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 На «4»</w:t>
      </w:r>
      <w:r w:rsidR="00C8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«5»  выполнили работу 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67,93% (ЗАТО - </w:t>
      </w:r>
      <w:r w:rsidR="00B228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68D5">
        <w:rPr>
          <w:rFonts w:ascii="Times New Roman" w:eastAsia="Times New Roman" w:hAnsi="Times New Roman" w:cs="Times New Roman"/>
          <w:sz w:val="24"/>
          <w:szCs w:val="24"/>
          <w:lang w:eastAsia="ru-RU"/>
        </w:rPr>
        <w:t>5,7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область –</w:t>
      </w:r>
      <w:r w:rsidR="008B3734">
        <w:rPr>
          <w:rFonts w:ascii="Times New Roman" w:eastAsia="Times New Roman" w:hAnsi="Times New Roman" w:cs="Times New Roman"/>
          <w:sz w:val="24"/>
          <w:szCs w:val="24"/>
          <w:lang w:eastAsia="ru-RU"/>
        </w:rPr>
        <w:t>68,11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РФ – </w:t>
      </w:r>
      <w:r w:rsidR="00B2285C">
        <w:rPr>
          <w:rFonts w:ascii="Times New Roman" w:eastAsia="Times New Roman" w:hAnsi="Times New Roman" w:cs="Times New Roman"/>
          <w:sz w:val="24"/>
          <w:szCs w:val="24"/>
          <w:lang w:eastAsia="ru-RU"/>
        </w:rPr>
        <w:t>64,</w:t>
      </w:r>
      <w:r w:rsidR="008B3734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  </w:t>
      </w:r>
    </w:p>
    <w:p w14:paraId="470CEDFB" w14:textId="77777777" w:rsidR="00570B5F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08"/>
        <w:gridCol w:w="2299"/>
        <w:gridCol w:w="692"/>
        <w:gridCol w:w="756"/>
        <w:gridCol w:w="756"/>
        <w:gridCol w:w="756"/>
      </w:tblGrid>
      <w:tr w:rsidR="00BE444E" w:rsidRPr="00BE444E" w14:paraId="7A4AD189" w14:textId="77777777" w:rsidTr="001747B6">
        <w:trPr>
          <w:trHeight w:val="300"/>
        </w:trPr>
        <w:tc>
          <w:tcPr>
            <w:tcW w:w="126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F3D94" w14:textId="77777777" w:rsidR="00BE444E" w:rsidRPr="00BE444E" w:rsidRDefault="00BE444E" w:rsidP="00BE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A1E3F" w14:textId="77777777" w:rsidR="00BE444E" w:rsidRPr="00BE444E" w:rsidRDefault="00BE444E" w:rsidP="00BE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00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3BAB" w14:textId="77777777" w:rsidR="00BE444E" w:rsidRPr="00BE444E" w:rsidRDefault="00BE444E" w:rsidP="00BE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8CE5C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184F4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63CD6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8C06C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E444E" w:rsidRPr="00BE444E" w14:paraId="616F508D" w14:textId="77777777" w:rsidTr="001747B6">
        <w:trPr>
          <w:trHeight w:val="300"/>
        </w:trPr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580F6" w14:textId="77777777" w:rsidR="00BE444E" w:rsidRPr="00BE444E" w:rsidRDefault="00BE444E" w:rsidP="00BE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13184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35919</w:t>
            </w:r>
          </w:p>
        </w:tc>
        <w:tc>
          <w:tcPr>
            <w:tcW w:w="10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547C1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1583487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96CC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BE839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C3EC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46,34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12041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18,42</w:t>
            </w:r>
          </w:p>
        </w:tc>
      </w:tr>
      <w:tr w:rsidR="00BE444E" w:rsidRPr="00BE444E" w14:paraId="56CA9492" w14:textId="77777777" w:rsidTr="001747B6">
        <w:trPr>
          <w:trHeight w:val="300"/>
        </w:trPr>
        <w:tc>
          <w:tcPr>
            <w:tcW w:w="1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23A4" w14:textId="77777777" w:rsidR="00BE444E" w:rsidRPr="00BE444E" w:rsidRDefault="00BE444E" w:rsidP="00BE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0C10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1B892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2B56C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B7CB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27,51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5AC21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94F79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21,68</w:t>
            </w:r>
          </w:p>
        </w:tc>
      </w:tr>
      <w:tr w:rsidR="00BE444E" w:rsidRPr="00BE444E" w14:paraId="18FDEED5" w14:textId="77777777" w:rsidTr="001747B6">
        <w:trPr>
          <w:trHeight w:val="300"/>
        </w:trPr>
        <w:tc>
          <w:tcPr>
            <w:tcW w:w="1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2870C" w14:textId="77777777" w:rsidR="00BE444E" w:rsidRPr="00BE444E" w:rsidRDefault="00BE444E" w:rsidP="00BE4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A150" w14:textId="7D06C880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5E9F" w14:textId="057047DE" w:rsidR="00BE444E" w:rsidRPr="00BE444E" w:rsidRDefault="00814EEA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AA418" w14:textId="3632FC16" w:rsidR="00BE444E" w:rsidRPr="00BE444E" w:rsidRDefault="001C6FF1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61E9D" w14:textId="12392AFE" w:rsidR="00BE444E" w:rsidRPr="00BE444E" w:rsidRDefault="001C6FF1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12F92" w14:textId="1ADB1275" w:rsidR="00BE444E" w:rsidRPr="00BE444E" w:rsidRDefault="001C6FF1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AD944" w14:textId="517BF10B" w:rsidR="00BE444E" w:rsidRPr="00BE444E" w:rsidRDefault="001C6FF1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E444E" w:rsidRPr="00BE444E" w14:paraId="001BA949" w14:textId="77777777" w:rsidTr="001747B6">
        <w:trPr>
          <w:trHeight w:val="300"/>
        </w:trPr>
        <w:tc>
          <w:tcPr>
            <w:tcW w:w="12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1FE2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3E36A" w14:textId="77777777" w:rsidR="00BE444E" w:rsidRPr="00BE444E" w:rsidRDefault="00BE444E" w:rsidP="00BE4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829D5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99F6E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60AA4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2FA97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4317F" w14:textId="77777777" w:rsidR="00BE444E" w:rsidRPr="00BE444E" w:rsidRDefault="00BE444E" w:rsidP="00BE4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13,21</w:t>
            </w:r>
          </w:p>
        </w:tc>
      </w:tr>
    </w:tbl>
    <w:p w14:paraId="1E14FBA8" w14:textId="77777777" w:rsidR="00BE444E" w:rsidRPr="001F37CB" w:rsidRDefault="00BE444E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7E48" w14:textId="0A2DBB56" w:rsidR="00570B5F" w:rsidRPr="00CB22E4" w:rsidRDefault="00913701" w:rsidP="00E227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и 2024 гг.</w:t>
      </w:r>
      <w:r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</w:p>
    <w:p w14:paraId="41F25DB5" w14:textId="7FE46A99" w:rsidR="00570B5F" w:rsidRPr="00CB22E4" w:rsidRDefault="00570B5F" w:rsidP="00E227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3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1F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CB22E4"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меньшилось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r w:rsidR="00992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выполненных на «отлично»;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01C286" w14:textId="4DFEC015" w:rsidR="00992EC7" w:rsidRDefault="00570B5F" w:rsidP="00E227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3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6,04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работ, выполненных </w:t>
      </w:r>
      <w:r w:rsidR="00992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«хорошо»;</w:t>
      </w:r>
    </w:p>
    <w:p w14:paraId="00903306" w14:textId="39C68E2D" w:rsidR="00570B5F" w:rsidRPr="00CB22E4" w:rsidRDefault="00992EC7" w:rsidP="00E227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3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4,62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у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работ, выполненных </w:t>
      </w:r>
      <w:r w:rsidR="00570B5F"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022454" w14:textId="34A05186" w:rsidR="00570B5F" w:rsidRPr="00CB22E4" w:rsidRDefault="00570B5F" w:rsidP="00E227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3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76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,77</w:t>
      </w:r>
      <w:r w:rsidR="00F3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работ имеют 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</w:t>
      </w:r>
      <w:r w:rsidR="00F376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F3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что 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выше результатов </w:t>
      </w:r>
      <w:r w:rsidR="00F37600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а (13,16%)</w:t>
      </w:r>
      <w:r w:rsidR="00F854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38785D" w14:textId="4DE8C35B" w:rsidR="00570B5F" w:rsidRPr="00811F26" w:rsidRDefault="00570B5F" w:rsidP="00E2271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2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3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работой справились </w:t>
      </w:r>
      <w:r w:rsidR="00F854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6,23</w:t>
      </w:r>
      <w:r w:rsidRPr="00935B24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(в 202</w:t>
      </w:r>
      <w:r w:rsidR="00EF23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265902">
        <w:rPr>
          <w:rFonts w:ascii="Times New Roman" w:eastAsia="Times New Roman" w:hAnsi="Times New Roman" w:cs="Times New Roman"/>
          <w:sz w:val="24"/>
          <w:szCs w:val="24"/>
          <w:lang w:eastAsia="ru-RU"/>
        </w:rPr>
        <w:t>86,84</w:t>
      </w:r>
      <w:r w:rsidRPr="00935B24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596E88E3" w14:textId="2A56D167" w:rsidR="00570B5F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данным ФИОКО подтвердили свои отметки по русскому языку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4E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>2,26</w:t>
      </w: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</w:t>
      </w:r>
      <w:r w:rsidR="000B6652"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хся </w:t>
      </w:r>
      <w:r w:rsidR="002833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6652"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(в 202</w:t>
      </w:r>
      <w:r w:rsidR="001C74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6652"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>53,95</w:t>
      </w:r>
      <w:r w:rsidR="000B6652"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повысили – 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>18,87</w:t>
      </w: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1C74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>17,11</w:t>
      </w: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понизили –   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74E7">
        <w:rPr>
          <w:rFonts w:ascii="Times New Roman" w:eastAsia="Times New Roman" w:hAnsi="Times New Roman" w:cs="Times New Roman"/>
          <w:sz w:val="24"/>
          <w:szCs w:val="24"/>
          <w:lang w:eastAsia="ru-RU"/>
        </w:rPr>
        <w:t>8,87</w:t>
      </w:r>
      <w:r w:rsidR="008C2DC5"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1C74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>28,95</w:t>
      </w:r>
      <w:r w:rsidRPr="008C2DC5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1210C84D" w14:textId="77777777" w:rsidR="001747B6" w:rsidRDefault="001747B6" w:rsidP="0065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F07BA" w14:textId="49927149" w:rsidR="00657B27" w:rsidRDefault="00570B5F" w:rsidP="0065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 вызвали задания</w:t>
      </w:r>
      <w:r w:rsidR="0079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7916AD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</w:t>
      </w:r>
      <w:r w:rsidRPr="00FF65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57B27" w:rsidRPr="00657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1970D7" w14:textId="6AD008FC" w:rsidR="00465375" w:rsidRPr="00465375" w:rsidRDefault="00465375" w:rsidP="0046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5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1К1</w:t>
      </w:r>
      <w:r w:rsidR="00D949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1К2</w:t>
      </w:r>
      <w:r w:rsidRPr="00465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="001747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D949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5FD6142C" w14:textId="49F5A0BC" w:rsidR="00465375" w:rsidRPr="00465375" w:rsidRDefault="00465375" w:rsidP="0046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5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  <w:r w:rsidR="00D35F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64DC7EB" w14:textId="63A9DAF2" w:rsidR="00465375" w:rsidRPr="00465375" w:rsidRDefault="00465375" w:rsidP="0046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5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</w:t>
      </w:r>
      <w:r w:rsidR="001747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елять значение слова по тексту</w:t>
      </w:r>
      <w:r w:rsidR="00E14D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C8161D9" w14:textId="5620705B" w:rsidR="00465375" w:rsidRPr="00465375" w:rsidRDefault="00465375" w:rsidP="0046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5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15.1. Умение на основе данной информации</w:t>
      </w:r>
      <w:r w:rsidR="001747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653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 w:rsidR="002F24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0B96B44E" w14:textId="15459D9A" w:rsidR="00570B5F" w:rsidRPr="00BF3A62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6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выполнения ВПР-202</w:t>
      </w:r>
      <w:r w:rsidR="00C247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4-х классах по русскому языку в части распределения групп баллов (отметок) представлены на диаграмме.</w:t>
      </w:r>
    </w:p>
    <w:p w14:paraId="2F8FD753" w14:textId="77777777" w:rsidR="00570B5F" w:rsidRPr="00811F26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5DF48234" wp14:editId="56E0FCAA">
            <wp:extent cx="4731027" cy="2012223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444D77" w14:textId="14D94DC7" w:rsidR="00B673C8" w:rsidRPr="00A01695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1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Математика. ВПР-202</w:t>
      </w:r>
      <w:r w:rsidR="00D674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A01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2F5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01695" w:rsidRPr="00A01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</w:t>
      </w:r>
      <w:r w:rsidR="00462F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235C9E8E" w14:textId="4CBE4E9C" w:rsidR="00570B5F" w:rsidRPr="004E234B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математике выполняли 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 </w:t>
      </w:r>
      <w:r w:rsidR="00A101D4"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</w:t>
      </w:r>
      <w:r w:rsidR="00176B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>4,7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D674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01D4"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Справились с работой 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>96,3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747B6"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47B6"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96,15</w:t>
      </w:r>
      <w:r w:rsidR="001747B6"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«4» и «5» выполнили работу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79,63% (ЗАТО - 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0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B32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70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32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17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 область – 7</w:t>
      </w:r>
      <w:r w:rsidR="001B3291">
        <w:rPr>
          <w:rFonts w:ascii="Times New Roman" w:eastAsia="Times New Roman" w:hAnsi="Times New Roman" w:cs="Times New Roman"/>
          <w:sz w:val="24"/>
          <w:szCs w:val="24"/>
          <w:lang w:eastAsia="ru-RU"/>
        </w:rPr>
        <w:t>7,76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РФ – </w:t>
      </w:r>
      <w:r w:rsidR="008E7016">
        <w:rPr>
          <w:rFonts w:ascii="Times New Roman" w:eastAsia="Times New Roman" w:hAnsi="Times New Roman" w:cs="Times New Roman"/>
          <w:sz w:val="24"/>
          <w:szCs w:val="24"/>
          <w:lang w:eastAsia="ru-RU"/>
        </w:rPr>
        <w:t>75,</w:t>
      </w:r>
      <w:r w:rsidR="001B329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</w:p>
    <w:p w14:paraId="333B7CA3" w14:textId="77777777" w:rsidR="00570B5F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29"/>
        <w:gridCol w:w="2299"/>
        <w:gridCol w:w="636"/>
        <w:gridCol w:w="756"/>
        <w:gridCol w:w="756"/>
        <w:gridCol w:w="791"/>
      </w:tblGrid>
      <w:tr w:rsidR="00D67461" w:rsidRPr="00D67461" w14:paraId="03A11A22" w14:textId="77777777" w:rsidTr="001747B6">
        <w:trPr>
          <w:trHeight w:val="300"/>
        </w:trPr>
        <w:tc>
          <w:tcPr>
            <w:tcW w:w="101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EACD9" w14:textId="77777777" w:rsidR="00D67461" w:rsidRPr="00D67461" w:rsidRDefault="00D67461" w:rsidP="00D6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9CB02" w14:textId="77777777" w:rsidR="00D67461" w:rsidRPr="00D67461" w:rsidRDefault="00D67461" w:rsidP="00D6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E052F" w14:textId="77777777" w:rsidR="00D67461" w:rsidRPr="00D67461" w:rsidRDefault="00D67461" w:rsidP="00D6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C6D9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E4675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19EE4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966FF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67461" w:rsidRPr="00D67461" w14:paraId="0173CEE2" w14:textId="77777777" w:rsidTr="001747B6">
        <w:trPr>
          <w:trHeight w:val="300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4477E" w14:textId="77777777" w:rsidR="00D67461" w:rsidRPr="00D67461" w:rsidRDefault="00D67461" w:rsidP="00D6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78F01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35926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F839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1599378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07AE5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79B60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09934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5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225E0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30,35</w:t>
            </w:r>
          </w:p>
        </w:tc>
      </w:tr>
      <w:tr w:rsidR="00D67461" w:rsidRPr="00D67461" w14:paraId="265BEB30" w14:textId="77777777" w:rsidTr="001747B6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452AC" w14:textId="77777777" w:rsidR="00D67461" w:rsidRPr="00D67461" w:rsidRDefault="00D67461" w:rsidP="00D6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46E85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0C80C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12677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74522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3FBDA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18D26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42,92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B20F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34,84</w:t>
            </w:r>
          </w:p>
        </w:tc>
      </w:tr>
      <w:tr w:rsidR="00D67461" w:rsidRPr="00D67461" w14:paraId="1CF52ED9" w14:textId="77777777" w:rsidTr="001747B6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A6AA7" w14:textId="77777777" w:rsidR="00D67461" w:rsidRPr="00D67461" w:rsidRDefault="00D67461" w:rsidP="00D6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A56D2" w14:textId="3F19EFB5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17B13" w14:textId="7A910822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B5800" w14:textId="32D09E0F" w:rsidR="00D67461" w:rsidRPr="00D67461" w:rsidRDefault="00613860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BD882" w14:textId="3D2862C6" w:rsidR="00D67461" w:rsidRPr="00D67461" w:rsidRDefault="00613860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DCB44" w14:textId="657A9858" w:rsidR="00D67461" w:rsidRPr="00D67461" w:rsidRDefault="00613860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BD9F3" w14:textId="4B1C7D1A" w:rsidR="00D67461" w:rsidRPr="00D67461" w:rsidRDefault="00613860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39,4</w:t>
            </w:r>
          </w:p>
        </w:tc>
      </w:tr>
      <w:tr w:rsidR="00D67461" w:rsidRPr="00D67461" w14:paraId="321383FC" w14:textId="77777777" w:rsidTr="001747B6">
        <w:trPr>
          <w:trHeight w:val="300"/>
        </w:trPr>
        <w:tc>
          <w:tcPr>
            <w:tcW w:w="10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E41D3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FEFBB" w14:textId="77777777" w:rsidR="00D67461" w:rsidRPr="00D67461" w:rsidRDefault="00D67461" w:rsidP="00D6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C95A0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4F9E9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430F1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66A75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F13B3" w14:textId="77777777" w:rsidR="00D67461" w:rsidRPr="00D67461" w:rsidRDefault="00D67461" w:rsidP="00D67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14:paraId="74588D04" w14:textId="77777777" w:rsidR="00D67461" w:rsidRDefault="00D67461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686C3" w14:textId="46060C47" w:rsidR="00570B5F" w:rsidRPr="001A5884" w:rsidRDefault="00570B5F" w:rsidP="00A174F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74F1"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результатов </w:t>
      </w:r>
      <w:r w:rsidR="00A1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и 2024 гг. </w:t>
      </w:r>
      <w:r w:rsidR="00A174F1"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</w:t>
      </w:r>
      <w:r w:rsidR="00A17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сделать следующие выводы:</w:t>
      </w:r>
    </w:p>
    <w:p w14:paraId="4FBCBE5B" w14:textId="1D97AB08" w:rsidR="00570B5F" w:rsidRPr="001A5884" w:rsidRDefault="00570B5F" w:rsidP="00570B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количество работ, выполненных на «5»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76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285E80"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на </w:t>
      </w:r>
      <w:r w:rsidR="002867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, </w:t>
      </w:r>
    </w:p>
    <w:p w14:paraId="16DF88E5" w14:textId="42B4651C" w:rsidR="00570B5F" w:rsidRPr="001A5884" w:rsidRDefault="00570B5F" w:rsidP="00570B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 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24,22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</w:t>
      </w:r>
      <w:r w:rsidR="0028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количество работ, выполненных</w:t>
      </w:r>
      <w:r w:rsidR="00285E80"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5E80"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14:paraId="189378E2" w14:textId="0CCF6B3D" w:rsidR="00642A4C" w:rsidRPr="001A5884" w:rsidRDefault="00642A4C" w:rsidP="00570B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 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3,85</w:t>
      </w:r>
      <w:r w:rsidR="00E5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</w:t>
      </w:r>
      <w:r w:rsidR="0028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количество работ, выполненных «удовлетворительно»; </w:t>
      </w:r>
    </w:p>
    <w:p w14:paraId="6C9138B6" w14:textId="553A3124" w:rsidR="00570B5F" w:rsidRPr="001A5884" w:rsidRDefault="00570B5F" w:rsidP="00570B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количество неудовлетворительных результатов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осталось прежним (3,85% в 2023 г.)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398A51" w14:textId="4DBFB394" w:rsidR="00570B5F" w:rsidRPr="001A5884" w:rsidRDefault="00570B5F" w:rsidP="00570B5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целом с работой справились </w:t>
      </w:r>
      <w:r w:rsidR="002867C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6,3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>%  обучающихся (в 202</w:t>
      </w:r>
      <w:r w:rsidR="002867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9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6,15</w:t>
      </w:r>
      <w:r w:rsidRPr="001A5884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2C7C03FE" w14:textId="2749D48A" w:rsidR="00570B5F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математике </w:t>
      </w:r>
      <w:r w:rsidR="00AB2B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1,85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6D2A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(в 202</w:t>
      </w:r>
      <w:r w:rsidR="003377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B840A5"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2,56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42,59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3377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3377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77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понизили –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5,56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3377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40A5"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305DFB">
        <w:rPr>
          <w:rFonts w:ascii="Times New Roman" w:eastAsia="Times New Roman" w:hAnsi="Times New Roman" w:cs="Times New Roman"/>
          <w:sz w:val="24"/>
          <w:szCs w:val="24"/>
          <w:lang w:eastAsia="ru-RU"/>
        </w:rPr>
        <w:t>14,1</w:t>
      </w:r>
      <w:r w:rsidR="003377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600BF6E6" w14:textId="7B33E18B" w:rsidR="00570B5F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трудность</w:t>
      </w:r>
      <w:r w:rsidR="00F1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вызвали задания</w:t>
      </w:r>
      <w:r w:rsidR="008D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="0079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</w:t>
      </w:r>
      <w:r w:rsidR="00F13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D62BFD" w14:textId="75B21A77" w:rsidR="00B059D5" w:rsidRPr="00B059D5" w:rsidRDefault="00B059D5" w:rsidP="00B0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59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9626A2B" w14:textId="23274C2A" w:rsidR="00B059D5" w:rsidRPr="00B059D5" w:rsidRDefault="00B059D5" w:rsidP="00B0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59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  <w:r w:rsidR="00867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E2E1762" w14:textId="292BC7E5" w:rsidR="00B059D5" w:rsidRPr="00B059D5" w:rsidRDefault="00B059D5" w:rsidP="00B0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59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</w:r>
      <w:r w:rsidR="00867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AC46B16" w14:textId="4AE923D4" w:rsidR="00B059D5" w:rsidRPr="00B059D5" w:rsidRDefault="00B059D5" w:rsidP="00B0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59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 Овладение основами пространственного воображения. Описывать взаимное расположение предметов в пространстве и на плоскости</w:t>
      </w:r>
      <w:r w:rsidR="00867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4FA1868" w14:textId="77777777" w:rsidR="00305DFB" w:rsidRDefault="00305DFB" w:rsidP="00570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28394" w14:textId="6D104A2A" w:rsidR="00570B5F" w:rsidRPr="00B840A5" w:rsidRDefault="002B6CEA" w:rsidP="00570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0B5F"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выполнения ВПР-</w:t>
      </w:r>
      <w:r w:rsidR="004628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7BB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A3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B5F"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628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0B5F" w:rsidRPr="00B840A5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по математике в части распределения групп баллов (отметок) представлены на диаграмме.</w:t>
      </w:r>
    </w:p>
    <w:p w14:paraId="292186BB" w14:textId="7CD67836" w:rsidR="00B673C8" w:rsidRPr="00EE50B3" w:rsidRDefault="00E42D62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4ACEBD3B" wp14:editId="7EA8336C">
            <wp:extent cx="4731027" cy="2012223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70B5F" w:rsidRPr="00EE50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Окружающий мир. ВПР-202</w:t>
      </w:r>
      <w:r w:rsidR="00680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F523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570B5F" w:rsidRPr="00EE50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463AD" w:rsidRPr="00EE50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</w:t>
      </w:r>
      <w:r w:rsidR="00F523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063A8011" w14:textId="3D6AF58E" w:rsidR="00570B5F" w:rsidRPr="00EE50B3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окружающему миру выполняли 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</w:t>
      </w:r>
      <w:r w:rsidR="009D7A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7AEA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930D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F5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930D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="00EE50B3"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Справились с работой 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2023 97,4%)</w:t>
      </w:r>
      <w:r w:rsidR="00146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«4» и «5» выполнили работу </w:t>
      </w:r>
      <w:r w:rsidR="002D1E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1E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(ЗАТО – 89,3%, 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 – </w:t>
      </w:r>
      <w:r w:rsidR="00146A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D1E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6A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E1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>%, РФ –</w:t>
      </w:r>
      <w:r w:rsidR="002D1E19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146ADE">
        <w:rPr>
          <w:rFonts w:ascii="Times New Roman" w:eastAsia="Times New Roman" w:hAnsi="Times New Roman" w:cs="Times New Roman"/>
          <w:sz w:val="24"/>
          <w:szCs w:val="24"/>
          <w:lang w:eastAsia="ru-RU"/>
        </w:rPr>
        <w:t>,72</w:t>
      </w: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14:paraId="0D4FAE46" w14:textId="77777777" w:rsidR="00570B5F" w:rsidRDefault="00570B5F" w:rsidP="00570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в таблице представлена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1408"/>
        <w:gridCol w:w="2299"/>
        <w:gridCol w:w="636"/>
        <w:gridCol w:w="845"/>
        <w:gridCol w:w="855"/>
        <w:gridCol w:w="855"/>
      </w:tblGrid>
      <w:tr w:rsidR="009D7AEA" w:rsidRPr="009D7AEA" w14:paraId="3E387A1A" w14:textId="77777777" w:rsidTr="00E42D62">
        <w:trPr>
          <w:trHeight w:val="300"/>
        </w:trPr>
        <w:tc>
          <w:tcPr>
            <w:tcW w:w="121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11B5" w14:textId="77777777" w:rsidR="009D7AEA" w:rsidRPr="009D7AEA" w:rsidRDefault="009D7AEA" w:rsidP="009D7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025FF" w14:textId="77777777" w:rsidR="009D7AEA" w:rsidRPr="009D7AEA" w:rsidRDefault="009D7AEA" w:rsidP="009D7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0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E67EC" w14:textId="77777777" w:rsidR="009D7AEA" w:rsidRPr="009D7AEA" w:rsidRDefault="009D7AEA" w:rsidP="009D7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5C319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A51F3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B624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634E8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D7AEA" w:rsidRPr="009D7AEA" w14:paraId="49B1D3CF" w14:textId="77777777" w:rsidTr="00E42D62">
        <w:trPr>
          <w:trHeight w:val="300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11EC6" w14:textId="77777777" w:rsidR="009D7AEA" w:rsidRPr="009D7AEA" w:rsidRDefault="009D7AEA" w:rsidP="009D7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657EB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35853</w:t>
            </w:r>
          </w:p>
        </w:tc>
        <w:tc>
          <w:tcPr>
            <w:tcW w:w="10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77883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1587984</w:t>
            </w:r>
          </w:p>
        </w:tc>
        <w:tc>
          <w:tcPr>
            <w:tcW w:w="4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FE87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F4437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8AAE4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5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0B1CD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25,48</w:t>
            </w:r>
          </w:p>
        </w:tc>
      </w:tr>
      <w:tr w:rsidR="009D7AEA" w:rsidRPr="009D7AEA" w14:paraId="4FFA4BD9" w14:textId="77777777" w:rsidTr="00E42D62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79596" w14:textId="77777777" w:rsidR="009D7AEA" w:rsidRPr="009D7AEA" w:rsidRDefault="009D7AEA" w:rsidP="009D7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7483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C70F9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6E0D1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B7C08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20B08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20BA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29,99</w:t>
            </w:r>
          </w:p>
        </w:tc>
      </w:tr>
      <w:tr w:rsidR="009D7AEA" w:rsidRPr="009D7AEA" w14:paraId="08C01E22" w14:textId="77777777" w:rsidTr="00E42D62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9A39" w14:textId="77777777" w:rsidR="009D7AEA" w:rsidRPr="009D7AEA" w:rsidRDefault="009D7AEA" w:rsidP="009D7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ЗАТО город Заречный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5671B" w14:textId="67B802D0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14DF3" w14:textId="627732F5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846A2" w14:textId="19D1E7D4" w:rsidR="009D7AEA" w:rsidRPr="009D7AEA" w:rsidRDefault="00B72736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A8924" w14:textId="15D811C9" w:rsidR="009D7AEA" w:rsidRPr="009D7AEA" w:rsidRDefault="00B72736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C378A" w14:textId="1D9AD8C0" w:rsidR="009D7AEA" w:rsidRPr="009D7AEA" w:rsidRDefault="00B72736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BA6F1" w14:textId="5CE264CE" w:rsidR="009D7AEA" w:rsidRPr="009D7AEA" w:rsidRDefault="00B72736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D7AEA" w:rsidRPr="009D7AEA" w14:paraId="51A76EA5" w14:textId="77777777" w:rsidTr="00E42D62">
        <w:trPr>
          <w:trHeight w:val="300"/>
        </w:trPr>
        <w:tc>
          <w:tcPr>
            <w:tcW w:w="1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076F3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03E5D" w14:textId="77777777" w:rsidR="009D7AEA" w:rsidRPr="009D7AEA" w:rsidRDefault="009D7AEA" w:rsidP="009D7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559D1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36D48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4527F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DCF32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26AC8" w14:textId="77777777" w:rsidR="009D7AEA" w:rsidRPr="009D7AEA" w:rsidRDefault="009D7AEA" w:rsidP="009D7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7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23,21</w:t>
            </w:r>
          </w:p>
        </w:tc>
      </w:tr>
    </w:tbl>
    <w:p w14:paraId="5B5E041C" w14:textId="77777777" w:rsidR="00146195" w:rsidRDefault="00146195" w:rsidP="00146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89096F" w14:textId="17B25CC6" w:rsidR="00570B5F" w:rsidRPr="00895EDC" w:rsidRDefault="00570B5F" w:rsidP="00FE3F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11F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 по окружающему миру показывает, что</w:t>
      </w:r>
      <w:r w:rsidR="007E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 w:rsidR="00F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выше</w:t>
      </w:r>
      <w:r w:rsidR="007E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E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7E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E3FA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59F3AA" w14:textId="0474AAA6" w:rsidR="00570B5F" w:rsidRPr="006812B6" w:rsidRDefault="00570B5F" w:rsidP="00120ED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7E62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ФИОКО подтвердили свои отметки по окружающему миру 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57,14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r w:rsidR="00C54C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(в 202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6812B6"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58,44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%), повысили –</w:t>
      </w:r>
      <w:r w:rsidR="00FD4A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6,07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B533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B533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3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33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понизили –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26,79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% (в 202</w:t>
      </w:r>
      <w:r w:rsidR="00B533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B533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4C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33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42D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12B6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26BA2B09" w14:textId="77777777" w:rsidR="00C87F5A" w:rsidRPr="008C2DC5" w:rsidRDefault="00CA5425" w:rsidP="00CA5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D07EC0" w:rsidRPr="00D07EC0" w14:paraId="05615E08" w14:textId="77777777" w:rsidTr="00D07EC0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7751" w14:textId="0345C541" w:rsidR="00D07EC0" w:rsidRPr="005249D7" w:rsidRDefault="00C010B2" w:rsidP="00E42D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70B5F" w:rsidRPr="0094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Наибольшую трудность вызвали задания</w:t>
            </w:r>
            <w:r w:rsidR="00F57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№№</w:t>
            </w:r>
            <w:r w:rsidR="00570B5F" w:rsidRPr="0094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010B2" w:rsidRPr="00D07EC0" w14:paraId="03A7FAAD" w14:textId="77777777" w:rsidTr="00C87F5A">
        <w:trPr>
          <w:trHeight w:val="5263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F444B" w14:textId="26ACFFC5" w:rsidR="00A52B6A" w:rsidRPr="00A52B6A" w:rsidRDefault="001A04CE" w:rsidP="001A0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</w:t>
            </w:r>
            <w:r w:rsidR="00A52B6A" w:rsidRPr="00A52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3.2., 3.3.</w:t>
            </w:r>
            <w:r w:rsidR="00A52B6A" w:rsidRPr="00A52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0CBC34BF" w14:textId="15D87054" w:rsidR="00A52B6A" w:rsidRPr="00A52B6A" w:rsidRDefault="00071FE4" w:rsidP="001A0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</w:t>
            </w:r>
            <w:r w:rsidR="00A52B6A" w:rsidRPr="00A52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6.2, 6.3.</w:t>
            </w:r>
            <w:r w:rsidR="00A52B6A" w:rsidRPr="00A52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  <w:r w:rsidR="009B50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0C7F1DD4" w14:textId="0AA5F4DC" w:rsidR="00C010B2" w:rsidRPr="009463AD" w:rsidRDefault="00E42D62" w:rsidP="00C8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</w:t>
            </w:r>
            <w:r w:rsidR="00A52B6A" w:rsidRPr="00A52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</w:t>
            </w:r>
            <w:r w:rsidR="007E6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10.2К1, 10.2К2</w:t>
            </w:r>
            <w:r w:rsidR="006B5B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10.2К3.</w:t>
            </w:r>
            <w:r w:rsidR="007E6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A52B6A" w:rsidRPr="00A52B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  <w:r w:rsidR="001A04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D53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</w:p>
        </w:tc>
      </w:tr>
    </w:tbl>
    <w:p w14:paraId="03611946" w14:textId="40267E69" w:rsidR="00570B5F" w:rsidRPr="009463AD" w:rsidRDefault="00570B5F" w:rsidP="00FE0A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3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диаграмме представлены итоги выполнения ВПР-202</w:t>
      </w:r>
      <w:r w:rsidR="006807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</w:t>
      </w:r>
      <w:r w:rsidRPr="009463AD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по окружающему миру:</w:t>
      </w:r>
    </w:p>
    <w:p w14:paraId="295887BC" w14:textId="77777777" w:rsidR="00C87F5A" w:rsidRDefault="00C87F5A" w:rsidP="00570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F26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3F9BCC0B" wp14:editId="0A6560A6">
            <wp:extent cx="4731027" cy="2012223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98C503" w14:textId="3AB76989" w:rsidR="00570B5F" w:rsidRPr="00312A79" w:rsidRDefault="00570B5F" w:rsidP="00C87F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14:paraId="3CCAEC64" w14:textId="45F0D98C" w:rsidR="00570B5F" w:rsidRPr="00C87F5A" w:rsidRDefault="00570B5F" w:rsidP="00C87F5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F5A">
        <w:rPr>
          <w:rFonts w:ascii="Times New Roman" w:eastAsia="Times New Roman" w:hAnsi="Times New Roman"/>
          <w:sz w:val="24"/>
          <w:szCs w:val="24"/>
          <w:lang w:eastAsia="ru-RU"/>
        </w:rPr>
        <w:t>Результаты Всероссийских проверочных работ 202</w:t>
      </w:r>
      <w:r w:rsidR="00680761" w:rsidRPr="00C87F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87F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665053" w:rsidRPr="00C87F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76B" w:rsidRPr="00C87F5A">
        <w:rPr>
          <w:rFonts w:ascii="Times New Roman" w:eastAsia="Times New Roman" w:hAnsi="Times New Roman"/>
          <w:sz w:val="24"/>
          <w:szCs w:val="24"/>
          <w:lang w:eastAsia="ru-RU"/>
        </w:rPr>
        <w:t xml:space="preserve">в 4-х классах </w:t>
      </w:r>
      <w:r w:rsidR="00665053" w:rsidRPr="00C87F5A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4B776B" w:rsidRPr="00C87F5A">
        <w:rPr>
          <w:rFonts w:ascii="Times New Roman" w:eastAsia="Times New Roman" w:hAnsi="Times New Roman"/>
          <w:sz w:val="24"/>
          <w:szCs w:val="24"/>
          <w:lang w:eastAsia="ru-RU"/>
        </w:rPr>
        <w:t>русск</w:t>
      </w:r>
      <w:r w:rsidR="00C87F5A" w:rsidRPr="00C87F5A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="004B776B" w:rsidRPr="00C87F5A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</w:t>
      </w:r>
      <w:r w:rsidR="00C87F5A" w:rsidRPr="00C87F5A">
        <w:rPr>
          <w:rFonts w:ascii="Times New Roman" w:eastAsia="Times New Roman" w:hAnsi="Times New Roman"/>
          <w:sz w:val="24"/>
          <w:szCs w:val="24"/>
          <w:lang w:eastAsia="ru-RU"/>
        </w:rPr>
        <w:t>у, окружающему миру несколько выше 2023</w:t>
      </w:r>
      <w:r w:rsidR="004B776B" w:rsidRPr="00C87F5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87F5A" w:rsidRPr="00C87F5A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B776B" w:rsidRPr="00C87F5A">
        <w:rPr>
          <w:rFonts w:ascii="Times New Roman" w:eastAsia="Times New Roman" w:hAnsi="Times New Roman"/>
          <w:sz w:val="24"/>
          <w:szCs w:val="24"/>
          <w:lang w:eastAsia="ru-RU"/>
        </w:rPr>
        <w:t>математик</w:t>
      </w:r>
      <w:r w:rsidR="00C87F5A" w:rsidRPr="00C87F5A">
        <w:rPr>
          <w:rFonts w:ascii="Times New Roman" w:eastAsia="Times New Roman" w:hAnsi="Times New Roman"/>
          <w:sz w:val="24"/>
          <w:szCs w:val="24"/>
          <w:lang w:eastAsia="ru-RU"/>
        </w:rPr>
        <w:t>е соответствуют</w:t>
      </w:r>
      <w:r w:rsidRPr="00C87F5A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</w:t>
      </w:r>
      <w:r w:rsidR="005166C1" w:rsidRPr="00C87F5A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C87F5A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80761" w:rsidRPr="00C87F5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87F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C87F5A" w:rsidRPr="00C87F5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5166C1" w:rsidRPr="00C87F5A">
        <w:rPr>
          <w:rFonts w:ascii="Times New Roman" w:eastAsia="Times New Roman" w:hAnsi="Times New Roman"/>
          <w:sz w:val="24"/>
          <w:szCs w:val="24"/>
          <w:lang w:eastAsia="ru-RU"/>
        </w:rPr>
        <w:t>наблюдается незначительное снижение работ, выполненных на «4» и «5»</w:t>
      </w:r>
      <w:r w:rsidR="00C87F5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87F5A" w:rsidRPr="00C87F5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математике и повышение по русскому языку и окружающему миру</w:t>
      </w:r>
      <w:r w:rsidR="005166C1" w:rsidRPr="00C87F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DB8C2C" w14:textId="77777777" w:rsidR="00570B5F" w:rsidRPr="00811F26" w:rsidRDefault="00570B5F" w:rsidP="00C87F5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12A79">
        <w:rPr>
          <w:rFonts w:ascii="Times New Roman" w:eastAsia="Times New Roman" w:hAnsi="Times New Roman"/>
          <w:sz w:val="24"/>
          <w:szCs w:val="24"/>
          <w:lang w:eastAsia="ru-RU"/>
        </w:rPr>
        <w:t>Наибольшую трудность вызывают задания, где необходимо извлекать информацию из доступных источников, анализировать полученные данные, давать собственную аргументированную оценку</w:t>
      </w:r>
      <w:r w:rsidRPr="000125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4FDD28" w14:textId="77777777" w:rsidR="00C87F5A" w:rsidRDefault="00C87F5A" w:rsidP="00D70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88972" w14:textId="77777777" w:rsidR="00412BFC" w:rsidRDefault="00412BFC" w:rsidP="00412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14:paraId="7E1D9D9F" w14:textId="77777777" w:rsidR="00412BFC" w:rsidRDefault="00412BFC" w:rsidP="00412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14:paraId="5134DA57" w14:textId="77777777" w:rsidR="00412BFC" w:rsidRDefault="00412BFC" w:rsidP="00412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Включить в план ВШК вопрос о подготовке обучающихся 4-классов к ВПР </w:t>
      </w:r>
    </w:p>
    <w:p w14:paraId="73A925ED" w14:textId="3BC90E46" w:rsidR="00412BFC" w:rsidRDefault="00412BFC" w:rsidP="00412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C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план ВШК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контроль деятельности молодого 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работающего в 4«Б»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20EBA3" w14:textId="34F89390" w:rsidR="00412BFC" w:rsidRDefault="00412BFC" w:rsidP="00412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Рекомендовать педагогам включение заданий ВПР в ход урока.</w:t>
      </w:r>
    </w:p>
    <w:p w14:paraId="3F41D5FA" w14:textId="0C8E2167" w:rsidR="00412BFC" w:rsidRPr="00B80C37" w:rsidRDefault="00412BFC" w:rsidP="00412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Включить задания оп типу ВПР в тексты контрольных работ.</w:t>
      </w:r>
    </w:p>
    <w:p w14:paraId="78FC8D79" w14:textId="77777777" w:rsidR="00412BFC" w:rsidRDefault="00412BFC" w:rsidP="00412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CC632E" w14:textId="77777777" w:rsidR="00412BFC" w:rsidRPr="00B80C37" w:rsidRDefault="00412BFC" w:rsidP="00412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Руководителю МО</w:t>
      </w:r>
    </w:p>
    <w:p w14:paraId="3B0597E1" w14:textId="77777777" w:rsidR="00412BFC" w:rsidRDefault="00412BFC" w:rsidP="00412BF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анализ ВПР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лицее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методических рекомендаций ФГБНУ «Институт стратегии развития образования» Российской академии образования, результаты анализа зафиксировать документально (аналитические справки, протокол школьн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 </w:t>
      </w:r>
    </w:p>
    <w:p w14:paraId="60A0671B" w14:textId="2E2D40CD" w:rsidR="00412BFC" w:rsidRDefault="00412BFC" w:rsidP="00412BF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Провести для педагогов 4-х классов обучающий семинар/ы в рамках работы МО по подготовке к ВПР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AB2C64" w14:textId="0ABB2E96" w:rsidR="00412BFC" w:rsidRPr="006D3CC1" w:rsidRDefault="00412BFC" w:rsidP="00412BF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Совместно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начальных классов разработать рекомендации для педагогов по коррекции деятельности, направленной на достижение планируемых результатов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предметам «Русский язык», «Математика», «Окружающий мир» на уровне начального общего образования, по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совершенствованию 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системы оценки достижения планируемых результатов соответствующих учебных предметов.</w:t>
      </w:r>
    </w:p>
    <w:p w14:paraId="04A064E2" w14:textId="77777777" w:rsidR="00412BFC" w:rsidRDefault="00412BFC" w:rsidP="00412BFC">
      <w:pPr>
        <w:pStyle w:val="a5"/>
        <w:tabs>
          <w:tab w:val="left" w:pos="1134"/>
        </w:tabs>
        <w:spacing w:after="0" w:line="240" w:lineRule="auto"/>
        <w:ind w:left="709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4ADF10" w14:textId="15D838A6" w:rsidR="00412BFC" w:rsidRPr="00412BFC" w:rsidRDefault="00412BFC" w:rsidP="00412BF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12BFC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Педагогам</w:t>
      </w:r>
    </w:p>
    <w:p w14:paraId="0B5C1BB1" w14:textId="28B999DF" w:rsidR="00412BFC" w:rsidRPr="006D3CC1" w:rsidRDefault="00412BFC" w:rsidP="00412BF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Скорректировать прохождение учебного материала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с учетом ликвидации пробелов обучающихся, выявленных при выполнении ВПР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679F1596" w14:textId="77777777" w:rsidR="00412BFC" w:rsidRPr="006D3CC1" w:rsidRDefault="00412BFC" w:rsidP="00412BFC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D3CC1">
        <w:rPr>
          <w:rFonts w:ascii="Times New Roman" w:eastAsia="Times New Roman" w:hAnsi="Times New Roman"/>
          <w:sz w:val="24"/>
          <w:szCs w:val="24"/>
          <w:lang w:eastAsia="ru-RU"/>
        </w:rPr>
        <w:t>Организовать коррекционную работу с обучающимися, получившими неудовлетворительные результаты при выполнении ВПР (индивидуальная работа на уроке и во внеурочной деятельности, консультации и др.).</w:t>
      </w:r>
    </w:p>
    <w:p w14:paraId="5D0C15D9" w14:textId="77777777" w:rsidR="00412BFC" w:rsidRDefault="00412BFC" w:rsidP="00412B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F176D" w14:textId="5FA4C83C" w:rsidR="00412BFC" w:rsidRDefault="00412BFC" w:rsidP="00412B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31A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F227229" w14:textId="77777777" w:rsidR="00412BFC" w:rsidRDefault="00412BFC" w:rsidP="00412B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26643" w14:textId="77777777" w:rsidR="00412BFC" w:rsidRDefault="00412BFC" w:rsidP="00412B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Чередникова О.Н.</w:t>
      </w:r>
      <w:bookmarkStart w:id="0" w:name="_GoBack"/>
      <w:bookmarkEnd w:id="0"/>
    </w:p>
    <w:sectPr w:rsidR="0041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4ACEB" w14:textId="77777777" w:rsidR="00AD398C" w:rsidRDefault="00AD398C" w:rsidP="001B5AF8">
      <w:pPr>
        <w:spacing w:after="0" w:line="240" w:lineRule="auto"/>
      </w:pPr>
      <w:r>
        <w:separator/>
      </w:r>
    </w:p>
  </w:endnote>
  <w:endnote w:type="continuationSeparator" w:id="0">
    <w:p w14:paraId="6DC8012E" w14:textId="77777777" w:rsidR="00AD398C" w:rsidRDefault="00AD398C" w:rsidP="001B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0FDE8" w14:textId="77777777" w:rsidR="00AD398C" w:rsidRDefault="00AD398C" w:rsidP="001B5AF8">
      <w:pPr>
        <w:spacing w:after="0" w:line="240" w:lineRule="auto"/>
      </w:pPr>
      <w:r>
        <w:separator/>
      </w:r>
    </w:p>
  </w:footnote>
  <w:footnote w:type="continuationSeparator" w:id="0">
    <w:p w14:paraId="2EA44B1A" w14:textId="77777777" w:rsidR="00AD398C" w:rsidRDefault="00AD398C" w:rsidP="001B5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F6E"/>
    <w:multiLevelType w:val="hybridMultilevel"/>
    <w:tmpl w:val="01462F34"/>
    <w:lvl w:ilvl="0" w:tplc="6C58016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D44F5"/>
    <w:multiLevelType w:val="hybridMultilevel"/>
    <w:tmpl w:val="ADC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1452"/>
    <w:multiLevelType w:val="hybridMultilevel"/>
    <w:tmpl w:val="67E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F"/>
    <w:rsid w:val="00012596"/>
    <w:rsid w:val="00020122"/>
    <w:rsid w:val="0003317D"/>
    <w:rsid w:val="000578E1"/>
    <w:rsid w:val="0006457C"/>
    <w:rsid w:val="00064B1C"/>
    <w:rsid w:val="00071FE4"/>
    <w:rsid w:val="000721EB"/>
    <w:rsid w:val="0007636D"/>
    <w:rsid w:val="000776A5"/>
    <w:rsid w:val="00082C9A"/>
    <w:rsid w:val="00084E85"/>
    <w:rsid w:val="0009629A"/>
    <w:rsid w:val="000B6652"/>
    <w:rsid w:val="000C2C45"/>
    <w:rsid w:val="000E16A4"/>
    <w:rsid w:val="00101B2F"/>
    <w:rsid w:val="00113069"/>
    <w:rsid w:val="00120EB8"/>
    <w:rsid w:val="00120EDE"/>
    <w:rsid w:val="001312E4"/>
    <w:rsid w:val="00132391"/>
    <w:rsid w:val="00146195"/>
    <w:rsid w:val="00146ADE"/>
    <w:rsid w:val="0016163B"/>
    <w:rsid w:val="00172D75"/>
    <w:rsid w:val="00173619"/>
    <w:rsid w:val="001747B6"/>
    <w:rsid w:val="00176B73"/>
    <w:rsid w:val="00180124"/>
    <w:rsid w:val="001A04CE"/>
    <w:rsid w:val="001A440B"/>
    <w:rsid w:val="001A5884"/>
    <w:rsid w:val="001A6463"/>
    <w:rsid w:val="001B3291"/>
    <w:rsid w:val="001B5AF8"/>
    <w:rsid w:val="001C6FF1"/>
    <w:rsid w:val="001C74E7"/>
    <w:rsid w:val="001F37CB"/>
    <w:rsid w:val="002022B7"/>
    <w:rsid w:val="0020500F"/>
    <w:rsid w:val="002374E6"/>
    <w:rsid w:val="00251248"/>
    <w:rsid w:val="00264EA3"/>
    <w:rsid w:val="00265902"/>
    <w:rsid w:val="00265CD4"/>
    <w:rsid w:val="002733DC"/>
    <w:rsid w:val="002833E8"/>
    <w:rsid w:val="0028568A"/>
    <w:rsid w:val="00285E80"/>
    <w:rsid w:val="002867C2"/>
    <w:rsid w:val="002912A6"/>
    <w:rsid w:val="00296FF3"/>
    <w:rsid w:val="002A34DD"/>
    <w:rsid w:val="002B0602"/>
    <w:rsid w:val="002B373A"/>
    <w:rsid w:val="002B6C16"/>
    <w:rsid w:val="002B6CEA"/>
    <w:rsid w:val="002C08D5"/>
    <w:rsid w:val="002D1E19"/>
    <w:rsid w:val="002D5357"/>
    <w:rsid w:val="002F2457"/>
    <w:rsid w:val="002F562D"/>
    <w:rsid w:val="00305DFB"/>
    <w:rsid w:val="00312A79"/>
    <w:rsid w:val="00320144"/>
    <w:rsid w:val="00320A1C"/>
    <w:rsid w:val="00336CAA"/>
    <w:rsid w:val="00337743"/>
    <w:rsid w:val="003640F9"/>
    <w:rsid w:val="003701AE"/>
    <w:rsid w:val="00383022"/>
    <w:rsid w:val="003837FF"/>
    <w:rsid w:val="003A38BD"/>
    <w:rsid w:val="003C5E2A"/>
    <w:rsid w:val="003C7BBF"/>
    <w:rsid w:val="003F15E5"/>
    <w:rsid w:val="00410D4D"/>
    <w:rsid w:val="00412BFC"/>
    <w:rsid w:val="00412CAB"/>
    <w:rsid w:val="00422C05"/>
    <w:rsid w:val="00426629"/>
    <w:rsid w:val="004307EB"/>
    <w:rsid w:val="004320EE"/>
    <w:rsid w:val="00443BBB"/>
    <w:rsid w:val="004628BB"/>
    <w:rsid w:val="00462F63"/>
    <w:rsid w:val="00465375"/>
    <w:rsid w:val="00471F6E"/>
    <w:rsid w:val="00482C78"/>
    <w:rsid w:val="00485BA3"/>
    <w:rsid w:val="004863FD"/>
    <w:rsid w:val="004A2665"/>
    <w:rsid w:val="004A3E2F"/>
    <w:rsid w:val="004A64A0"/>
    <w:rsid w:val="004B776B"/>
    <w:rsid w:val="004C7495"/>
    <w:rsid w:val="004D4FF6"/>
    <w:rsid w:val="004E1338"/>
    <w:rsid w:val="004E234B"/>
    <w:rsid w:val="004F3FC8"/>
    <w:rsid w:val="004F7A14"/>
    <w:rsid w:val="005046F9"/>
    <w:rsid w:val="00507082"/>
    <w:rsid w:val="005100DC"/>
    <w:rsid w:val="00511920"/>
    <w:rsid w:val="005166C1"/>
    <w:rsid w:val="00517313"/>
    <w:rsid w:val="005249D7"/>
    <w:rsid w:val="005366E8"/>
    <w:rsid w:val="0053686B"/>
    <w:rsid w:val="00570B5F"/>
    <w:rsid w:val="005867F1"/>
    <w:rsid w:val="00590296"/>
    <w:rsid w:val="005E0032"/>
    <w:rsid w:val="00600159"/>
    <w:rsid w:val="006023F9"/>
    <w:rsid w:val="00613860"/>
    <w:rsid w:val="00640BD1"/>
    <w:rsid w:val="00642A4C"/>
    <w:rsid w:val="006432F1"/>
    <w:rsid w:val="00645358"/>
    <w:rsid w:val="006512CA"/>
    <w:rsid w:val="00651CBB"/>
    <w:rsid w:val="00657B27"/>
    <w:rsid w:val="00665053"/>
    <w:rsid w:val="006713D7"/>
    <w:rsid w:val="00674FCE"/>
    <w:rsid w:val="00676DB3"/>
    <w:rsid w:val="0068009B"/>
    <w:rsid w:val="00680761"/>
    <w:rsid w:val="006812B6"/>
    <w:rsid w:val="006A346F"/>
    <w:rsid w:val="006A514A"/>
    <w:rsid w:val="006A74D2"/>
    <w:rsid w:val="006B5BE3"/>
    <w:rsid w:val="006D2798"/>
    <w:rsid w:val="006D2AA4"/>
    <w:rsid w:val="006D3C48"/>
    <w:rsid w:val="006D3CC1"/>
    <w:rsid w:val="006D72AC"/>
    <w:rsid w:val="006E55B2"/>
    <w:rsid w:val="006F377D"/>
    <w:rsid w:val="006F760F"/>
    <w:rsid w:val="007270DD"/>
    <w:rsid w:val="00732B70"/>
    <w:rsid w:val="0073340C"/>
    <w:rsid w:val="007362BF"/>
    <w:rsid w:val="0074062F"/>
    <w:rsid w:val="0074547A"/>
    <w:rsid w:val="00750A7A"/>
    <w:rsid w:val="0075387B"/>
    <w:rsid w:val="007625FA"/>
    <w:rsid w:val="007653E9"/>
    <w:rsid w:val="00786E2D"/>
    <w:rsid w:val="00786E4F"/>
    <w:rsid w:val="007916AD"/>
    <w:rsid w:val="00795F53"/>
    <w:rsid w:val="00797337"/>
    <w:rsid w:val="007A4D28"/>
    <w:rsid w:val="007B6A3B"/>
    <w:rsid w:val="007C10D2"/>
    <w:rsid w:val="007E05FF"/>
    <w:rsid w:val="007E1B70"/>
    <w:rsid w:val="007E606F"/>
    <w:rsid w:val="007E6275"/>
    <w:rsid w:val="007E76D2"/>
    <w:rsid w:val="007F6066"/>
    <w:rsid w:val="00803598"/>
    <w:rsid w:val="008117D4"/>
    <w:rsid w:val="00811F26"/>
    <w:rsid w:val="00814EEA"/>
    <w:rsid w:val="008170CA"/>
    <w:rsid w:val="00825BCE"/>
    <w:rsid w:val="00842AFC"/>
    <w:rsid w:val="00855570"/>
    <w:rsid w:val="0086418E"/>
    <w:rsid w:val="00867BA5"/>
    <w:rsid w:val="00876B99"/>
    <w:rsid w:val="008943FB"/>
    <w:rsid w:val="00895EDC"/>
    <w:rsid w:val="00896ACA"/>
    <w:rsid w:val="008B3734"/>
    <w:rsid w:val="008B3D03"/>
    <w:rsid w:val="008C17EC"/>
    <w:rsid w:val="008C2DC5"/>
    <w:rsid w:val="008C626E"/>
    <w:rsid w:val="008D5065"/>
    <w:rsid w:val="008D7E50"/>
    <w:rsid w:val="008E38BE"/>
    <w:rsid w:val="008E7016"/>
    <w:rsid w:val="008F5DA1"/>
    <w:rsid w:val="00903685"/>
    <w:rsid w:val="00907B10"/>
    <w:rsid w:val="009100A2"/>
    <w:rsid w:val="00912826"/>
    <w:rsid w:val="00913701"/>
    <w:rsid w:val="00922090"/>
    <w:rsid w:val="00922E81"/>
    <w:rsid w:val="00930D9D"/>
    <w:rsid w:val="00935B24"/>
    <w:rsid w:val="009463AD"/>
    <w:rsid w:val="00946C53"/>
    <w:rsid w:val="00954309"/>
    <w:rsid w:val="009553FA"/>
    <w:rsid w:val="0098718D"/>
    <w:rsid w:val="00992EC7"/>
    <w:rsid w:val="009A7DDF"/>
    <w:rsid w:val="009B28ED"/>
    <w:rsid w:val="009B439B"/>
    <w:rsid w:val="009B5022"/>
    <w:rsid w:val="009C1D27"/>
    <w:rsid w:val="009C3590"/>
    <w:rsid w:val="009C7292"/>
    <w:rsid w:val="009D1EEC"/>
    <w:rsid w:val="009D7AEA"/>
    <w:rsid w:val="009E41CB"/>
    <w:rsid w:val="009E4838"/>
    <w:rsid w:val="009F6ED4"/>
    <w:rsid w:val="00A01695"/>
    <w:rsid w:val="00A101D4"/>
    <w:rsid w:val="00A11EF7"/>
    <w:rsid w:val="00A174F1"/>
    <w:rsid w:val="00A21D8D"/>
    <w:rsid w:val="00A319F3"/>
    <w:rsid w:val="00A37213"/>
    <w:rsid w:val="00A43330"/>
    <w:rsid w:val="00A502CC"/>
    <w:rsid w:val="00A507FA"/>
    <w:rsid w:val="00A5085D"/>
    <w:rsid w:val="00A51A3C"/>
    <w:rsid w:val="00A52B6A"/>
    <w:rsid w:val="00A53EA9"/>
    <w:rsid w:val="00A95981"/>
    <w:rsid w:val="00AA29A4"/>
    <w:rsid w:val="00AA29FE"/>
    <w:rsid w:val="00AB2B91"/>
    <w:rsid w:val="00AB4C82"/>
    <w:rsid w:val="00AD398C"/>
    <w:rsid w:val="00AE087F"/>
    <w:rsid w:val="00AF6278"/>
    <w:rsid w:val="00B059D5"/>
    <w:rsid w:val="00B168D5"/>
    <w:rsid w:val="00B2285C"/>
    <w:rsid w:val="00B4252A"/>
    <w:rsid w:val="00B5335C"/>
    <w:rsid w:val="00B636ED"/>
    <w:rsid w:val="00B673C8"/>
    <w:rsid w:val="00B7100F"/>
    <w:rsid w:val="00B72736"/>
    <w:rsid w:val="00B840A5"/>
    <w:rsid w:val="00B959EE"/>
    <w:rsid w:val="00BA036D"/>
    <w:rsid w:val="00BA6915"/>
    <w:rsid w:val="00BA6CAA"/>
    <w:rsid w:val="00BB1EE0"/>
    <w:rsid w:val="00BB2233"/>
    <w:rsid w:val="00BD05D0"/>
    <w:rsid w:val="00BD766C"/>
    <w:rsid w:val="00BD76B2"/>
    <w:rsid w:val="00BE2370"/>
    <w:rsid w:val="00BE444E"/>
    <w:rsid w:val="00BF3A62"/>
    <w:rsid w:val="00C010B2"/>
    <w:rsid w:val="00C06083"/>
    <w:rsid w:val="00C247B8"/>
    <w:rsid w:val="00C25173"/>
    <w:rsid w:val="00C33FFD"/>
    <w:rsid w:val="00C36B41"/>
    <w:rsid w:val="00C46D41"/>
    <w:rsid w:val="00C54CC1"/>
    <w:rsid w:val="00C70767"/>
    <w:rsid w:val="00C72E39"/>
    <w:rsid w:val="00C83F6C"/>
    <w:rsid w:val="00C87F5A"/>
    <w:rsid w:val="00C90F06"/>
    <w:rsid w:val="00C92B59"/>
    <w:rsid w:val="00CA5425"/>
    <w:rsid w:val="00CB22E4"/>
    <w:rsid w:val="00CE3846"/>
    <w:rsid w:val="00CF7731"/>
    <w:rsid w:val="00D001FD"/>
    <w:rsid w:val="00D07EC0"/>
    <w:rsid w:val="00D113A3"/>
    <w:rsid w:val="00D255E9"/>
    <w:rsid w:val="00D35E8E"/>
    <w:rsid w:val="00D35F6B"/>
    <w:rsid w:val="00D43DB6"/>
    <w:rsid w:val="00D47313"/>
    <w:rsid w:val="00D67461"/>
    <w:rsid w:val="00D703BA"/>
    <w:rsid w:val="00D709A7"/>
    <w:rsid w:val="00D74561"/>
    <w:rsid w:val="00D9497B"/>
    <w:rsid w:val="00DC0399"/>
    <w:rsid w:val="00DD40FC"/>
    <w:rsid w:val="00DE19D9"/>
    <w:rsid w:val="00DE1E3C"/>
    <w:rsid w:val="00DE5031"/>
    <w:rsid w:val="00E06C1A"/>
    <w:rsid w:val="00E124EC"/>
    <w:rsid w:val="00E14D94"/>
    <w:rsid w:val="00E2271B"/>
    <w:rsid w:val="00E22C1C"/>
    <w:rsid w:val="00E2632F"/>
    <w:rsid w:val="00E32C92"/>
    <w:rsid w:val="00E3439D"/>
    <w:rsid w:val="00E42D62"/>
    <w:rsid w:val="00E5171F"/>
    <w:rsid w:val="00E53910"/>
    <w:rsid w:val="00E56324"/>
    <w:rsid w:val="00E57A4D"/>
    <w:rsid w:val="00E73636"/>
    <w:rsid w:val="00E956B1"/>
    <w:rsid w:val="00EB6E17"/>
    <w:rsid w:val="00EC637C"/>
    <w:rsid w:val="00EC7E41"/>
    <w:rsid w:val="00ED427F"/>
    <w:rsid w:val="00EE50B3"/>
    <w:rsid w:val="00EF0834"/>
    <w:rsid w:val="00EF2308"/>
    <w:rsid w:val="00F00190"/>
    <w:rsid w:val="00F02D5F"/>
    <w:rsid w:val="00F1396A"/>
    <w:rsid w:val="00F17B67"/>
    <w:rsid w:val="00F31FFB"/>
    <w:rsid w:val="00F328E7"/>
    <w:rsid w:val="00F33F49"/>
    <w:rsid w:val="00F37600"/>
    <w:rsid w:val="00F3764F"/>
    <w:rsid w:val="00F419B6"/>
    <w:rsid w:val="00F44E5E"/>
    <w:rsid w:val="00F50F78"/>
    <w:rsid w:val="00F523C3"/>
    <w:rsid w:val="00F5565B"/>
    <w:rsid w:val="00F57B99"/>
    <w:rsid w:val="00F8146D"/>
    <w:rsid w:val="00F8546C"/>
    <w:rsid w:val="00FB01C6"/>
    <w:rsid w:val="00FC362A"/>
    <w:rsid w:val="00FC7A64"/>
    <w:rsid w:val="00FD4A59"/>
    <w:rsid w:val="00FE0A75"/>
    <w:rsid w:val="00FE3FA1"/>
    <w:rsid w:val="00FE5021"/>
    <w:rsid w:val="00FE5D9C"/>
    <w:rsid w:val="00FF659B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F97F"/>
  <w15:docId w15:val="{92B928EE-9DC4-468C-91C2-FC8C5E8A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5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70B5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1B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AF8"/>
  </w:style>
  <w:style w:type="paragraph" w:styleId="a8">
    <w:name w:val="footer"/>
    <w:basedOn w:val="a"/>
    <w:link w:val="a9"/>
    <w:uiPriority w:val="99"/>
    <w:unhideWhenUsed/>
    <w:rsid w:val="001B5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AF8"/>
  </w:style>
  <w:style w:type="table" w:styleId="aa">
    <w:name w:val="Table Grid"/>
    <w:basedOn w:val="a1"/>
    <w:uiPriority w:val="59"/>
    <w:rsid w:val="00BE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669607456425111E-2"/>
          <c:y val="7.8136571042748432E-2"/>
          <c:w val="0.6713709677419355"/>
          <c:h val="0.75121951219512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7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30.15</c:v>
                </c:pt>
                <c:pt idx="2">
                  <c:v>46.34</c:v>
                </c:pt>
                <c:pt idx="3">
                  <c:v>18.420000000000002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78-4616-A323-599F60BD360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7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4.38</c:v>
                </c:pt>
                <c:pt idx="1">
                  <c:v>27.51</c:v>
                </c:pt>
                <c:pt idx="2">
                  <c:v>46.43</c:v>
                </c:pt>
                <c:pt idx="3">
                  <c:v>21.68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78-4616-A323-599F60BD360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7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21.3</c:v>
                </c:pt>
                <c:pt idx="2">
                  <c:v>50.7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78-4616-A323-599F60BD360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3.77</c:v>
                </c:pt>
                <c:pt idx="1">
                  <c:v>28.3</c:v>
                </c:pt>
                <c:pt idx="2">
                  <c:v>54.72</c:v>
                </c:pt>
                <c:pt idx="3">
                  <c:v>13.21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83-4577-9317-FD2DDFF72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2457216"/>
        <c:axId val="132458752"/>
        <c:axId val="0"/>
      </c:bar3DChart>
      <c:catAx>
        <c:axId val="13245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45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458752"/>
        <c:scaling>
          <c:orientation val="minMax"/>
        </c:scaling>
        <c:delete val="0"/>
        <c:axPos val="l"/>
        <c:majorGridlines>
          <c:spPr>
            <a:ln w="190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457216"/>
        <c:crosses val="autoZero"/>
        <c:crossBetween val="between"/>
      </c:valAx>
      <c:spPr>
        <a:noFill/>
        <a:ln w="20420">
          <a:noFill/>
        </a:ln>
      </c:spPr>
    </c:plotArea>
    <c:legend>
      <c:legendPos val="r"/>
      <c:layout>
        <c:manualLayout>
          <c:xMode val="edge"/>
          <c:yMode val="edge"/>
          <c:x val="0.75403232859688119"/>
          <c:y val="0.35121940157480319"/>
          <c:w val="0.13781725941975373"/>
          <c:h val="0.28976179113974387"/>
        </c:manualLayout>
      </c:layout>
      <c:overlay val="0"/>
      <c:spPr>
        <a:noFill/>
        <a:ln w="1905">
          <a:solidFill>
            <a:srgbClr val="000000"/>
          </a:solidFill>
          <a:prstDash val="solid"/>
        </a:ln>
      </c:spPr>
      <c:txPr>
        <a:bodyPr/>
        <a:lstStyle/>
        <a:p>
          <a:pPr>
            <a:defRPr sz="4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669607456425111E-2"/>
          <c:y val="7.8136571042748432E-2"/>
          <c:w val="0.6713709677419355"/>
          <c:h val="0.75121951219512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7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2.69</c:v>
                </c:pt>
                <c:pt idx="1">
                  <c:v>22.13</c:v>
                </c:pt>
                <c:pt idx="2">
                  <c:v>44.83</c:v>
                </c:pt>
                <c:pt idx="3">
                  <c:v>30.35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C2-4130-920D-96FC2E6EE91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7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1.9</c:v>
                </c:pt>
                <c:pt idx="1">
                  <c:v>20.34</c:v>
                </c:pt>
                <c:pt idx="2">
                  <c:v>42.92</c:v>
                </c:pt>
                <c:pt idx="3">
                  <c:v>34.840000000000003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C2-4130-920D-96FC2E6EE91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7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1.83</c:v>
                </c:pt>
                <c:pt idx="1">
                  <c:v>14.62</c:v>
                </c:pt>
                <c:pt idx="2">
                  <c:v>43.02</c:v>
                </c:pt>
                <c:pt idx="3">
                  <c:v>40.53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C2-4130-920D-96FC2E6EE91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3.7</c:v>
                </c:pt>
                <c:pt idx="1">
                  <c:v>16.670000000000002</c:v>
                </c:pt>
                <c:pt idx="2">
                  <c:v>29.63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C2-4130-920D-96FC2E6EE9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2457216"/>
        <c:axId val="132458752"/>
        <c:axId val="0"/>
      </c:bar3DChart>
      <c:catAx>
        <c:axId val="13245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45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458752"/>
        <c:scaling>
          <c:orientation val="minMax"/>
        </c:scaling>
        <c:delete val="0"/>
        <c:axPos val="l"/>
        <c:majorGridlines>
          <c:spPr>
            <a:ln w="190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457216"/>
        <c:crosses val="autoZero"/>
        <c:crossBetween val="between"/>
      </c:valAx>
      <c:spPr>
        <a:noFill/>
        <a:ln w="20420">
          <a:noFill/>
        </a:ln>
      </c:spPr>
    </c:plotArea>
    <c:legend>
      <c:legendPos val="r"/>
      <c:layout>
        <c:manualLayout>
          <c:xMode val="edge"/>
          <c:yMode val="edge"/>
          <c:x val="0.75403232859688119"/>
          <c:y val="0.35121940157480319"/>
          <c:w val="0.13781725941975373"/>
          <c:h val="0.28976179113974387"/>
        </c:manualLayout>
      </c:layout>
      <c:overlay val="0"/>
      <c:spPr>
        <a:noFill/>
        <a:ln w="1905">
          <a:solidFill>
            <a:srgbClr val="000000"/>
          </a:solidFill>
          <a:prstDash val="solid"/>
        </a:ln>
      </c:spPr>
      <c:txPr>
        <a:bodyPr/>
        <a:lstStyle/>
        <a:p>
          <a:pPr>
            <a:defRPr sz="4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669607456425111E-2"/>
          <c:y val="7.8136571042748432E-2"/>
          <c:w val="0.6713709677419355"/>
          <c:h val="0.75121951219512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rgbClr val="9999FF"/>
            </a:solidFill>
            <a:ln w="7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1.04</c:v>
                </c:pt>
                <c:pt idx="1">
                  <c:v>18.239999999999998</c:v>
                </c:pt>
                <c:pt idx="2">
                  <c:v>55.24</c:v>
                </c:pt>
                <c:pt idx="3">
                  <c:v>25.48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44-492D-95E2-2996D102D29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Пензенская обл.</c:v>
                </c:pt>
              </c:strCache>
            </c:strRef>
          </c:tx>
          <c:spPr>
            <a:solidFill>
              <a:srgbClr val="993366"/>
            </a:solidFill>
            <a:ln w="7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0.53</c:v>
                </c:pt>
                <c:pt idx="1">
                  <c:v>16.23</c:v>
                </c:pt>
                <c:pt idx="2">
                  <c:v>53.26</c:v>
                </c:pt>
                <c:pt idx="3">
                  <c:v>29.99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44-492D-95E2-2996D102D29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Заречный</c:v>
                </c:pt>
              </c:strCache>
            </c:strRef>
          </c:tx>
          <c:spPr>
            <a:solidFill>
              <a:srgbClr val="FFFFCC"/>
            </a:solidFill>
            <a:ln w="762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0.2</c:v>
                </c:pt>
                <c:pt idx="1">
                  <c:v>10.5</c:v>
                </c:pt>
                <c:pt idx="2">
                  <c:v>61.3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44-492D-95E2-2996D102D29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230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5.36</c:v>
                </c:pt>
                <c:pt idx="2">
                  <c:v>71.430000000000007</c:v>
                </c:pt>
                <c:pt idx="3">
                  <c:v>23.21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44-492D-95E2-2996D102D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2457216"/>
        <c:axId val="132458752"/>
        <c:axId val="0"/>
      </c:bar3DChart>
      <c:catAx>
        <c:axId val="13245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45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2458752"/>
        <c:scaling>
          <c:orientation val="minMax"/>
        </c:scaling>
        <c:delete val="0"/>
        <c:axPos val="l"/>
        <c:majorGridlines>
          <c:spPr>
            <a:ln w="190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457216"/>
        <c:crosses val="autoZero"/>
        <c:crossBetween val="between"/>
      </c:valAx>
      <c:spPr>
        <a:noFill/>
        <a:ln w="20420">
          <a:noFill/>
        </a:ln>
      </c:spPr>
    </c:plotArea>
    <c:legend>
      <c:legendPos val="r"/>
      <c:layout>
        <c:manualLayout>
          <c:xMode val="edge"/>
          <c:yMode val="edge"/>
          <c:x val="0.75403232859688119"/>
          <c:y val="0.35121940157480319"/>
          <c:w val="0.13781725941975373"/>
          <c:h val="0.28976179113974387"/>
        </c:manualLayout>
      </c:layout>
      <c:overlay val="0"/>
      <c:spPr>
        <a:noFill/>
        <a:ln w="1905">
          <a:solidFill>
            <a:srgbClr val="000000"/>
          </a:solidFill>
          <a:prstDash val="solid"/>
        </a:ln>
      </c:spPr>
      <c:txPr>
        <a:bodyPr/>
        <a:lstStyle/>
        <a:p>
          <a:pPr>
            <a:defRPr sz="4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3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5623-1526-4D12-947A-0082BB0E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zavuch</cp:lastModifiedBy>
  <cp:revision>2</cp:revision>
  <dcterms:created xsi:type="dcterms:W3CDTF">2024-08-06T12:58:00Z</dcterms:created>
  <dcterms:modified xsi:type="dcterms:W3CDTF">2024-08-06T12:58:00Z</dcterms:modified>
</cp:coreProperties>
</file>